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玻璃加工承揽合同范本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甲方（定作方）：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代理人：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地址：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联系电话：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乙方（承揽方）：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代理人：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地址：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联系电话：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乙双方本着平等合作、互惠互得的原则，依据《中华人民共和国合同法》和其他相关法规的规定，就___________（地点）玻璃供需问题，经双方友好协商，一致同意签订以下加工合同，具体条款如下：</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品种、规格、数量、单价：</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玻璃品种： ___________，规格： ___________，数量：___________，单价：___________。</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rPr>
      </w:pPr>
      <w:r>
        <w:rPr>
          <w:sz w:val="21"/>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4445</wp:posOffset>
                </wp:positionV>
                <wp:extent cx="5245735" cy="1736725"/>
                <wp:effectExtent l="4445" t="4445" r="7620" b="11430"/>
                <wp:wrapNone/>
                <wp:docPr id="1" name="文本框 1"/>
                <wp:cNvGraphicFramePr/>
                <a:graphic xmlns:a="http://schemas.openxmlformats.org/drawingml/2006/main">
                  <a:graphicData uri="http://schemas.microsoft.com/office/word/2010/wordprocessingShape">
                    <wps:wsp>
                      <wps:cNvSpPr txBox="1"/>
                      <wps:spPr>
                        <a:xfrm>
                          <a:off x="1168400" y="5970905"/>
                          <a:ext cx="5245735" cy="17367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rPr>
                            </w:pPr>
                            <w:r>
                              <w:rPr>
                                <w:rFonts w:hint="eastAsia"/>
                              </w:rPr>
                              <w:t xml:space="preserve">风险提示：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加工后的成品，一般有两种交货方式，一是由定作方在承揽方仓库提货，二是由承揽方送货到双方指定的地点。定作方提货和承揽方送货两种方式在货物的毁损灭失风险有很大的区别。为此，双方应慎重选择对自己有利的方式。</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pt;margin-top:0.35pt;height:136.75pt;width:413.05pt;z-index:251658240;mso-width-relative:page;mso-height-relative:page;" fillcolor="#FFFFFF [3201]" filled="t" stroked="t" coordsize="21600,21600" o:gfxdata="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Txaty9QAAAAGAQAADwAAAAAAAAABACAA&#10;AAAiAAAAZHJzL2Rvd25yZXYueG1sUEsBAhQAFAAAAAgAh07iQJhvzqBKAgAAdgQAAA4AAAAAAAAA&#10;AQAgAAAAIwEAAGRycy9lMm9Eb2MueG1sUEsFBgAAAAAGAAYAWQEAAN8FAAAAAA==&#10;">
                <v:fill on="t" focussize="0,0"/>
                <v:stroke weight="0.5pt" color="#000000 [3204]" joinstyle="round"/>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rPr>
                      </w:pPr>
                      <w:r>
                        <w:rPr>
                          <w:rFonts w:hint="eastAsia"/>
                        </w:rPr>
                        <w:t xml:space="preserve">风险提示：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加工后的成品，一般有两种交货方式，一是由定作方在承揽方仓库提货，二是由承揽方送货到双方指定的地点。定作方提货和承揽方送货两种方式在货物的毁损灭失风险有很大的区别。为此，双方应慎重选择对自己有利的方式。</w:t>
                      </w:r>
                    </w:p>
                    <w:p/>
                  </w:txbxContent>
                </v:textbox>
              </v:shape>
            </w:pict>
          </mc:Fallback>
        </mc:AlternateConten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交货地点：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sz w:val="21"/>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26670</wp:posOffset>
                </wp:positionV>
                <wp:extent cx="5260340" cy="2063750"/>
                <wp:effectExtent l="5080" t="4445" r="11430" b="8255"/>
                <wp:wrapNone/>
                <wp:docPr id="2" name="文本框 2"/>
                <wp:cNvGraphicFramePr/>
                <a:graphic xmlns:a="http://schemas.openxmlformats.org/drawingml/2006/main">
                  <a:graphicData uri="http://schemas.microsoft.com/office/word/2010/wordprocessingShape">
                    <wps:wsp>
                      <wps:cNvSpPr txBox="1"/>
                      <wps:spPr>
                        <a:xfrm>
                          <a:off x="1183005" y="8073390"/>
                          <a:ext cx="5260340" cy="2063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风险提示：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运输方式一般由需方提出，也可协商约定运输方式、运输路线、运输工具。总的要求是运费低、运速快、货物安全到达。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注意，要明确约定如果由于定作人原因选择了不合理的路线和工具，由此造成的损失，应由哪一方承担赔偿责任。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 xml:space="preserve">此外，运输费用的负担，应结合货物价款考虑，要明确约定清楚，以避免争议。 </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5pt;margin-top:2.1pt;height:162.5pt;width:414.2pt;z-index:251659264;mso-width-relative:page;mso-height-relative:page;" fillcolor="#FFFFFF [3201]" filled="t" stroked="t" coordsize="21600,21600" o:gfxdata="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X5Ks81AAAAAcBAAAPAAAAAAAAAAEAIAAA&#10;ACIAAABkcnMvZG93bnJldi54bWxQSwECFAAUAAAACACHTuJAwLS0hUkCAAB2BAAADgAAAAAAAAAB&#10;ACAAAAAjAQAAZHJzL2Uyb0RvYy54bWxQSwUGAAAAAAYABgBZAQAA3g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风险提示：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运输方式一般由需方提出，也可协商约定运输方式、运输路线、运输工具。总的要求是运费低、运速快、货物安全到达。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注意，要明确约定如果由于定作人原因选择了不合理的路线和工具，由此造成的损失，应由哪一方承担赔偿责任。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 xml:space="preserve">此外，运输费用的负担，应结合货物价款考虑，要明确约定清楚，以避免争议。 </w:t>
                      </w:r>
                    </w:p>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运输方式、费用：</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由乙方负责送货，运输费用由乙方承担.玻璃卸车前破片由乙方负责，落地验收后出现破损由甲方负责.</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20" w:firstLineChars="200"/>
        <w:textAlignment w:val="auto"/>
      </w:pPr>
      <w:r>
        <w:rPr>
          <w:rFonts w:hint="eastAsia"/>
        </w:rPr>
        <w:t>产品必须按甲方订单要求每片附加标签、规格、品种、楼号楼层等识别编码，标签编统一贴在白玻面，以便区分。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textAlignment w:val="auto"/>
        <w:rPr>
          <w:rFonts w:hint="eastAsia"/>
        </w:rPr>
      </w:pPr>
      <w:r>
        <w:rPr>
          <w:rFonts w:hint="eastAsia"/>
        </w:rPr>
        <w:t>交货期：</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textAlignment w:val="auto"/>
        <w:rPr>
          <w:rFonts w:hint="eastAsia"/>
        </w:rPr>
      </w:pPr>
      <w:r>
        <w:rPr>
          <w:rFonts w:hint="eastAsia"/>
          <w:lang w:eastAsia="zh-CN"/>
        </w:rPr>
        <w:t>合</w:t>
      </w:r>
      <w:r>
        <w:rPr>
          <w:rFonts w:hint="eastAsia"/>
        </w:rPr>
        <w:t>同签定后，乙方收到甲方订单后十日内供货，补片玻璃应在七日内完成。</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textAlignment w:val="auto"/>
      </w:pPr>
      <w:r>
        <w:rPr>
          <w:rFonts w:hint="eastAsia"/>
        </w:rPr>
        <w:t>验收方式：</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firstLine="420" w:firstLineChars="200"/>
        <w:textAlignment w:val="auto"/>
        <w:rPr>
          <w:rFonts w:hint="eastAsia"/>
        </w:rPr>
      </w:pPr>
      <w:r>
        <w:rPr>
          <w:rFonts w:hint="eastAsia"/>
        </w:rPr>
        <w:t>玻璃送达甲方工地后应当场验收当批玻璃，发现有不符合下单尺寸的产品应以及时予以检验，若有异议应在三日内以书面形式通知乙方，否则视为验收产品合格。</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firstLine="420" w:firstLineChars="200"/>
        <w:textAlignment w:val="auto"/>
      </w:pPr>
      <w:r>
        <w:rPr>
          <w:rFonts w:hint="eastAsia"/>
        </w:rPr>
        <w:t>_________玻璃制作按国家标准执行，相关规定以行业标准为准.</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结算及付款方式：甲方根据玻璃保修期给乙方一张远期支票，乙方发车后，甲方通知乙方，乙方方可存支票并提供发票给甲方。</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20" w:firstLineChars="200"/>
        <w:textAlignment w:val="auto"/>
      </w:pPr>
      <w:r>
        <w:rPr>
          <w:rFonts w:hint="eastAsia"/>
        </w:rPr>
        <w:t>违约责任：</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双方应按合同约定履行，乙方若延期供货，每日应向甲方支付3%作为违约金.</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20" w:firstLineChars="200"/>
        <w:textAlignment w:val="auto"/>
      </w:pPr>
      <w:r>
        <w:rPr>
          <w:rFonts w:hint="eastAsia"/>
        </w:rPr>
        <w:t>如产品质量达不到设计要求，乙方应承担一切责任和经济损失。</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20" w:firstLineChars="200"/>
        <w:textAlignment w:val="auto"/>
      </w:pPr>
      <w:r>
        <w:rPr>
          <w:rFonts w:hint="eastAsia"/>
        </w:rPr>
        <w:t>其他：本合同未尽事宜，由双方协商解决，合同争议双方均有权提起诉讼。</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20" w:firstLineChars="200"/>
        <w:textAlignment w:val="auto"/>
      </w:pPr>
      <w:r>
        <w:rPr>
          <w:rFonts w:hint="eastAsia"/>
        </w:rPr>
        <w:t>本合同一式两份，双方各执一份，由双方签字盖章后生效。合同签订至本项目结束本合同自行解除。</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20" w:firstLineChars="200"/>
        <w:textAlignment w:val="auto"/>
      </w:pPr>
      <w:r>
        <w:rPr>
          <w:rFonts w:hint="eastAsia"/>
        </w:rPr>
        <w:t>保质期及保修</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保质期为二年（验收之日起）</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20" w:firstLineChars="200"/>
        <w:textAlignment w:val="auto"/>
      </w:pPr>
      <w:r>
        <w:rPr>
          <w:rFonts w:hint="eastAsia"/>
        </w:rPr>
        <w:t>执行本项目保修期，在保修期内发现玻璃质量问题，乙方无偿更换，执行保修内产品所附有的责任。</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rPr>
      </w:pPr>
      <w:r>
        <w:rPr>
          <w:rFonts w:hint="eastAsia"/>
        </w:rPr>
        <w:t>甲方：</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rPr>
      </w:pPr>
      <w:r>
        <w:rPr>
          <w:rFonts w:hint="eastAsia"/>
        </w:rPr>
        <w:t>代表：</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rPr>
      </w:pPr>
      <w:r>
        <w:rPr>
          <w:rFonts w:hint="eastAsia"/>
        </w:rPr>
        <w:t>账号：</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rPr>
      </w:pPr>
      <w:r>
        <w:rPr>
          <w:rFonts w:hint="eastAsia"/>
        </w:rPr>
        <w:t>户行：</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rPr>
      </w:pPr>
      <w:r>
        <w:rPr>
          <w:rFonts w:hint="eastAsia"/>
        </w:rPr>
        <w:t>___________年___月___日</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rPr>
      </w:pPr>
      <w:r>
        <w:rPr>
          <w:rFonts w:hint="eastAsia"/>
        </w:rPr>
        <w:t>乙方：</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rPr>
      </w:pPr>
      <w:r>
        <w:rPr>
          <w:rFonts w:hint="eastAsia"/>
        </w:rPr>
        <w:t>代表：</w:t>
      </w:r>
      <w:bookmarkStart w:id="0" w:name="_GoBack"/>
      <w:bookmarkEnd w:id="0"/>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rPr>
      </w:pPr>
      <w:r>
        <w:rPr>
          <w:rFonts w:hint="eastAsia"/>
        </w:rPr>
        <w:t>账号：</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rPr>
      </w:pPr>
      <w:r>
        <w:rPr>
          <w:rFonts w:hint="eastAsia"/>
        </w:rPr>
        <w:t>户行：</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pPr>
      <w:r>
        <w:rPr>
          <w:rFonts w:hint="eastAsia"/>
        </w:rPr>
        <w:t>___________年___月___日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718AAC"/>
    <w:multiLevelType w:val="singleLevel"/>
    <w:tmpl w:val="A9718AAC"/>
    <w:lvl w:ilvl="0" w:tentative="0">
      <w:start w:val="1"/>
      <w:numFmt w:val="decimal"/>
      <w:suff w:val="nothing"/>
      <w:lvlText w:val="%1、"/>
      <w:lvlJc w:val="left"/>
    </w:lvl>
  </w:abstractNum>
  <w:abstractNum w:abstractNumId="1">
    <w:nsid w:val="BDB2A8DA"/>
    <w:multiLevelType w:val="singleLevel"/>
    <w:tmpl w:val="BDB2A8DA"/>
    <w:lvl w:ilvl="0" w:tentative="0">
      <w:start w:val="1"/>
      <w:numFmt w:val="decimal"/>
      <w:suff w:val="nothing"/>
      <w:lvlText w:val="%1）"/>
      <w:lvlJc w:val="left"/>
    </w:lvl>
  </w:abstractNum>
  <w:abstractNum w:abstractNumId="2">
    <w:nsid w:val="E17B1544"/>
    <w:multiLevelType w:val="singleLevel"/>
    <w:tmpl w:val="E17B1544"/>
    <w:lvl w:ilvl="0" w:tentative="0">
      <w:start w:val="1"/>
      <w:numFmt w:val="ideographTraditional"/>
      <w:suff w:val="nothing"/>
      <w:lvlText w:val="%1、"/>
      <w:lvlJc w:val="left"/>
      <w:rPr>
        <w:rFonts w:hint="eastAsia"/>
      </w:rPr>
    </w:lvl>
  </w:abstractNum>
  <w:abstractNum w:abstractNumId="3">
    <w:nsid w:val="ED90E7FD"/>
    <w:multiLevelType w:val="singleLevel"/>
    <w:tmpl w:val="ED90E7FD"/>
    <w:lvl w:ilvl="0" w:tentative="0">
      <w:start w:val="1"/>
      <w:numFmt w:val="decimal"/>
      <w:suff w:val="nothing"/>
      <w:lvlText w:val="%1）"/>
      <w:lvlJc w:val="left"/>
    </w:lvl>
  </w:abstractNum>
  <w:abstractNum w:abstractNumId="4">
    <w:nsid w:val="1F608F2E"/>
    <w:multiLevelType w:val="singleLevel"/>
    <w:tmpl w:val="1F608F2E"/>
    <w:lvl w:ilvl="0" w:tentative="0">
      <w:start w:val="1"/>
      <w:numFmt w:val="decimal"/>
      <w:suff w:val="nothing"/>
      <w:lvlText w:val="%1）"/>
      <w:lvlJc w:val="left"/>
    </w:lvl>
  </w:abstractNum>
  <w:abstractNum w:abstractNumId="5">
    <w:nsid w:val="43039A1F"/>
    <w:multiLevelType w:val="singleLevel"/>
    <w:tmpl w:val="43039A1F"/>
    <w:lvl w:ilvl="0" w:tentative="0">
      <w:start w:val="1"/>
      <w:numFmt w:val="chineseCounting"/>
      <w:suff w:val="nothing"/>
      <w:lvlText w:val="%1、"/>
      <w:lvlJc w:val="left"/>
      <w:rPr>
        <w:rFonts w:hint="eastAsia"/>
      </w:rPr>
    </w:lvl>
  </w:abstractNum>
  <w:abstractNum w:abstractNumId="6">
    <w:nsid w:val="7282D3F7"/>
    <w:multiLevelType w:val="singleLevel"/>
    <w:tmpl w:val="7282D3F7"/>
    <w:lvl w:ilvl="0" w:tentative="0">
      <w:start w:val="6"/>
      <w:numFmt w:val="chineseCounting"/>
      <w:suff w:val="nothing"/>
      <w:lvlText w:val="%1、"/>
      <w:lvlJc w:val="left"/>
      <w:rPr>
        <w:rFonts w:hint="eastAsia"/>
      </w:rPr>
    </w:lvl>
  </w:abstractNum>
  <w:num w:numId="1">
    <w:abstractNumId w:val="2"/>
  </w:num>
  <w:num w:numId="2">
    <w:abstractNumId w:val="5"/>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1D0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2019-11-26T08:07:29Z</dcterms:created>
  <dc:creator>Administrator</dc:creator>
  <cp:lastModifiedBy>SKD</cp:lastModifiedBy>
  <dcterms:modified xsi:type="dcterms:W3CDTF">2019-11-26T08:16:54Z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